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黑体" w:eastAsia="黑体"/>
          <w:b/>
          <w:sz w:val="28"/>
          <w:szCs w:val="28"/>
        </w:rPr>
        <w:t>附件7：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成都理工大学团日活动安排表</w:t>
      </w:r>
    </w:p>
    <w:tbl>
      <w:tblPr>
        <w:tblStyle w:val="6"/>
        <w:tblW w:w="87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50"/>
        <w:gridCol w:w="1451"/>
        <w:gridCol w:w="1451"/>
        <w:gridCol w:w="1451"/>
        <w:gridCol w:w="1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院</w:t>
            </w:r>
          </w:p>
        </w:tc>
        <w:tc>
          <w:tcPr>
            <w:tcW w:w="7254" w:type="dxa"/>
            <w:gridSpan w:val="5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活动场次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第一场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第二场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第三场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第四场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专业及班级</w:t>
            </w:r>
          </w:p>
        </w:tc>
        <w:tc>
          <w:tcPr>
            <w:tcW w:w="145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活动时间</w:t>
            </w:r>
          </w:p>
        </w:tc>
        <w:tc>
          <w:tcPr>
            <w:tcW w:w="145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活动地点</w:t>
            </w:r>
          </w:p>
        </w:tc>
        <w:tc>
          <w:tcPr>
            <w:tcW w:w="145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活动主题</w:t>
            </w:r>
          </w:p>
        </w:tc>
        <w:tc>
          <w:tcPr>
            <w:tcW w:w="145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活动形式</w:t>
            </w:r>
          </w:p>
        </w:tc>
        <w:tc>
          <w:tcPr>
            <w:tcW w:w="145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活动人数</w:t>
            </w:r>
          </w:p>
        </w:tc>
        <w:tc>
          <w:tcPr>
            <w:tcW w:w="145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监督人员</w:t>
            </w:r>
          </w:p>
        </w:tc>
        <w:tc>
          <w:tcPr>
            <w:tcW w:w="145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1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r>
        <w:rPr>
          <w:rFonts w:hint="eastAsia" w:ascii="仿宋_GB2312" w:hAnsi="宋体" w:eastAsia="仿宋_GB2312"/>
          <w:sz w:val="24"/>
        </w:rPr>
        <w:t>备注：本表格由各学院于每周一中午（12：30——13:00）报送校学生会青年发展研究中心。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27E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 van</dc:creator>
  <cp:lastModifiedBy>fan van</cp:lastModifiedBy>
  <dcterms:modified xsi:type="dcterms:W3CDTF">2017-02-23T13:58:08Z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