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jc w:val="left"/>
        <w:rPr>
          <w:rFonts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28"/>
          <w:szCs w:val="28"/>
        </w:rPr>
        <w:t>附件6：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成都理工大学磐石团支部团日活动考核表</w:t>
      </w:r>
    </w:p>
    <w:bookmarkEnd w:id="0"/>
    <w:tbl>
      <w:tblPr>
        <w:tblStyle w:val="6"/>
        <w:tblW w:w="9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95"/>
        <w:gridCol w:w="510"/>
        <w:gridCol w:w="885"/>
        <w:gridCol w:w="1380"/>
        <w:gridCol w:w="150"/>
        <w:gridCol w:w="240"/>
        <w:gridCol w:w="99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举办活动学院</w:t>
            </w:r>
          </w:p>
        </w:tc>
        <w:tc>
          <w:tcPr>
            <w:tcW w:w="7337" w:type="dxa"/>
            <w:gridSpan w:val="8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举办活动主题</w:t>
            </w:r>
          </w:p>
        </w:tc>
        <w:tc>
          <w:tcPr>
            <w:tcW w:w="7337" w:type="dxa"/>
            <w:gridSpan w:val="8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995" w:type="dxa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1187" w:type="dxa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磐石团支部</w:t>
            </w:r>
          </w:p>
        </w:tc>
        <w:tc>
          <w:tcPr>
            <w:tcW w:w="7337" w:type="dxa"/>
            <w:gridSpan w:val="8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评分项目及分值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考核要点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得分栏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1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前期准备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（25分）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1.策划方案：策划方案完整性，内容全面细致性，主题鲜明性、针对性（15分）</w:t>
            </w:r>
          </w:p>
        </w:tc>
        <w:tc>
          <w:tcPr>
            <w:tcW w:w="118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313" w:type="dxa"/>
            <w:vMerge w:val="continue"/>
            <w:vAlign w:val="center"/>
          </w:tcPr>
          <w:p/>
        </w:tc>
        <w:tc>
          <w:tcPr>
            <w:tcW w:w="6150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2.宣传力度：宣传广泛性，参与人数与所报人数是否相符（10分）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313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活动现场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（30分）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1.活动内容：内容充实性，创新性，学院特色，活动形式（10分）</w:t>
            </w:r>
          </w:p>
        </w:tc>
        <w:tc>
          <w:tcPr>
            <w:tcW w:w="118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313" w:type="dxa"/>
            <w:vMerge w:val="continue"/>
            <w:vAlign w:val="center"/>
          </w:tcPr>
          <w:p/>
        </w:tc>
        <w:tc>
          <w:tcPr>
            <w:tcW w:w="6150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2.现场纪律：现场气氛，互动性，秩序（10分）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313" w:type="dxa"/>
            <w:vMerge w:val="continue"/>
            <w:vAlign w:val="center"/>
          </w:tcPr>
          <w:p/>
        </w:tc>
        <w:tc>
          <w:tcPr>
            <w:tcW w:w="6150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3.活动连贯性：策划实施情况，参与人员表现，有无冷场及中断现象（10分）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313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教育意义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（45分）</w:t>
            </w: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1.活动思想引领性和教育意义（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313" w:type="dxa"/>
            <w:vMerge w:val="continue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50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2.主题契合度（15分）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160" w:type="dxa"/>
            <w:gridSpan w:val="6"/>
            <w:tcBorders>
              <w:righ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3.该学院其他基层团支部团支书参与情况。  </w:t>
            </w:r>
            <w:r>
              <w:rPr>
                <w:sz w:val="24"/>
              </w:rPr>
              <w:t xml:space="preserve">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（实到团支书人数/应到团支书人数</w:t>
            </w:r>
            <w:r>
              <w:rPr>
                <w:rFonts w:hint="eastAsia"/>
                <w:sz w:val="24"/>
              </w:rPr>
              <w:t>x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t>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监督人员姓名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所属学院（或组织）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团日活动总得分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13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gridSpan w:val="3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right"/>
        <w:rPr>
          <w:rFonts w:hint="eastAsia" w:ascii="仿宋_GB2312" w:hAnsi="宋体" w:eastAsia="仿宋_GB2312"/>
          <w:sz w:val="24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宋体" w:eastAsia="仿宋_GB2312"/>
          <w:sz w:val="24"/>
        </w:rPr>
        <w:t>成都理工大学学生会青年发展研究中心  制</w:t>
      </w:r>
    </w:p>
    <w:p>
      <w:pPr>
        <w:adjustRightInd w:val="0"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851" w:left="179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4"/>
      <w:jc w:val="right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- 22 -</w:t>
    </w:r>
    <w:r>
      <w:fldChar w:fldCharType="end"/>
    </w:r>
  </w:p>
  <w:p>
    <w:pPr>
      <w:pStyle w:val="2"/>
      <w:rPr>
        <w:rFonts w:ascii="楷体_GB2312" w:eastAsia="楷体_GB231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4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wordWrap w:val="0"/>
      <w:ind w:firstLine="826" w:firstLineChars="392"/>
      <w:jc w:val="right"/>
      <w:rPr>
        <w:b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74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2017-02-23T13:57:20Z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